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8506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5954"/>
      </w:tblGrid>
      <w:tr w14:paraId="2F0A6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 w14:paraId="762DB66F">
            <w:p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仿宋_GB2312" w:eastAsia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pacing w:val="108"/>
                <w:kern w:val="0"/>
                <w:sz w:val="32"/>
                <w:szCs w:val="32"/>
                <w:fitText w:val="1929" w:id="1496780334"/>
              </w:rPr>
              <w:t>外协</w:t>
            </w:r>
            <w:r>
              <w:rPr>
                <w:rFonts w:ascii="仿宋_GB2312" w:hAnsi="仿宋_GB2312" w:eastAsia="仿宋_GB2312"/>
                <w:b/>
                <w:color w:val="000000"/>
                <w:spacing w:val="108"/>
                <w:kern w:val="0"/>
                <w:sz w:val="32"/>
                <w:szCs w:val="32"/>
                <w:fitText w:val="1929" w:id="1496780334"/>
              </w:rPr>
              <w:t>名</w:t>
            </w:r>
            <w:r>
              <w:rPr>
                <w:rFonts w:ascii="仿宋_GB2312" w:hAnsi="仿宋_GB2312" w:eastAsia="仿宋_GB2312"/>
                <w:b/>
                <w:color w:val="000000"/>
                <w:spacing w:val="0"/>
                <w:kern w:val="0"/>
                <w:sz w:val="32"/>
                <w:szCs w:val="32"/>
                <w:fitText w:val="1929" w:id="1496780334"/>
              </w:rPr>
              <w:t>称</w:t>
            </w:r>
            <w:r>
              <w:rPr>
                <w:rFonts w:ascii="仿宋_GB2312" w:hAnsi="仿宋_GB2312" w:eastAsia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2BCC625">
            <w:p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仿宋_GB2312"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  <w:szCs w:val="32"/>
              </w:rPr>
              <w:t>北祁连东段白银厂外围地球物理测量</w:t>
            </w:r>
          </w:p>
        </w:tc>
      </w:tr>
      <w:tr w14:paraId="11FB8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 w14:paraId="3C8B2769">
            <w:p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仿宋_GB2312" w:eastAsia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b/>
                <w:color w:val="000000"/>
                <w:spacing w:val="0"/>
                <w:kern w:val="0"/>
                <w:sz w:val="32"/>
                <w:szCs w:val="32"/>
                <w:fitText w:val="1926" w:id="-723695360"/>
              </w:rPr>
              <w:t>工作起止年限</w:t>
            </w:r>
            <w:r>
              <w:rPr>
                <w:rFonts w:ascii="仿宋_GB2312" w:hAnsi="仿宋_GB2312" w:eastAsia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4173C93A">
            <w:p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仿宋_GB2312" w:eastAsia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color w:val="000000"/>
                <w:kern w:val="0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仿宋_GB2312" w:hAnsi="仿宋_GB2312" w:eastAsia="仿宋_GB2312"/>
                <w:color w:val="000000"/>
                <w:kern w:val="0"/>
                <w:sz w:val="32"/>
                <w:szCs w:val="32"/>
              </w:rPr>
              <w:t>年</w:t>
            </w:r>
          </w:p>
        </w:tc>
      </w:tr>
      <w:tr w14:paraId="3916CB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 w14:paraId="79769EB4">
            <w:p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仿宋_GB2312" w:eastAsia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所属</w:t>
            </w:r>
            <w:r>
              <w:rPr>
                <w:rFonts w:hint="eastAsia" w:ascii="仿宋_GB2312" w:hAnsi="仿宋_GB2312" w:eastAsia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子</w:t>
            </w:r>
            <w:r>
              <w:rPr>
                <w:rFonts w:ascii="仿宋_GB2312" w:hAnsi="仿宋_GB2312" w:eastAsia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项</w:t>
            </w:r>
            <w:r>
              <w:rPr>
                <w:rFonts w:ascii="仿宋_GB2312" w:hAnsi="仿宋_GB2312" w:eastAsia="仿宋_GB2312"/>
                <w:b/>
                <w:color w:val="000000"/>
                <w:spacing w:val="3"/>
                <w:kern w:val="0"/>
                <w:sz w:val="32"/>
                <w:szCs w:val="32"/>
                <w:fitText w:val="1926" w:id="-723695359"/>
              </w:rPr>
              <w:t>目</w:t>
            </w:r>
            <w:r>
              <w:rPr>
                <w:rFonts w:ascii="仿宋_GB2312" w:hAnsi="仿宋_GB2312" w:eastAsia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6B356D3">
            <w:p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仿宋_GB2312" w:eastAsia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  <w:szCs w:val="32"/>
              </w:rPr>
              <w:t>甘肃北祁连红川铜镍矿外围矿产地质调查</w:t>
            </w:r>
          </w:p>
        </w:tc>
      </w:tr>
      <w:tr w14:paraId="785D30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 w14:paraId="5F7A80E8">
            <w:p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仿宋_GB2312" w:eastAsia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pacing w:val="643"/>
                <w:kern w:val="0"/>
                <w:sz w:val="32"/>
                <w:szCs w:val="32"/>
                <w:fitText w:val="1926" w:id="-723293184"/>
              </w:rPr>
              <w:t>类</w:t>
            </w:r>
            <w:r>
              <w:rPr>
                <w:rFonts w:hint="eastAsia" w:ascii="仿宋_GB2312" w:hAnsi="仿宋_GB2312" w:eastAsia="仿宋_GB2312"/>
                <w:b/>
                <w:color w:val="000000"/>
                <w:spacing w:val="0"/>
                <w:kern w:val="0"/>
                <w:sz w:val="32"/>
                <w:szCs w:val="32"/>
                <w:fitText w:val="1926" w:id="-723293184"/>
              </w:rPr>
              <w:t>型</w:t>
            </w:r>
            <w:r>
              <w:rPr>
                <w:rFonts w:ascii="仿宋_GB2312" w:hAnsi="仿宋_GB2312" w:eastAsia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79B037E4">
            <w:p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仿宋_GB2312" w:eastAsia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  <w:szCs w:val="32"/>
              </w:rPr>
              <w:t>评审委托</w:t>
            </w:r>
          </w:p>
        </w:tc>
      </w:tr>
      <w:tr w14:paraId="1251B4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 w14:paraId="3A7D2DC1">
            <w:p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仿宋_GB2312" w:eastAsia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b/>
                <w:color w:val="000000"/>
                <w:spacing w:val="107"/>
                <w:kern w:val="0"/>
                <w:sz w:val="32"/>
                <w:szCs w:val="32"/>
                <w:fitText w:val="1926" w:id="-723695357"/>
              </w:rPr>
              <w:t>外协单</w:t>
            </w:r>
            <w:r>
              <w:rPr>
                <w:rFonts w:hint="eastAsia" w:ascii="仿宋_GB2312" w:hAnsi="仿宋_GB2312" w:eastAsia="仿宋_GB2312"/>
                <w:b/>
                <w:color w:val="000000"/>
                <w:spacing w:val="2"/>
                <w:kern w:val="0"/>
                <w:sz w:val="32"/>
                <w:szCs w:val="32"/>
                <w:fitText w:val="1926" w:id="-723695357"/>
              </w:rPr>
              <w:t>位</w:t>
            </w:r>
            <w:r>
              <w:rPr>
                <w:rFonts w:ascii="仿宋_GB2312" w:hAnsi="仿宋_GB2312" w:eastAsia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6F5105A0">
            <w:p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仿宋_GB2312" w:eastAsia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  <w:szCs w:val="32"/>
              </w:rPr>
              <w:t>****（仿宋GB2312三号）</w:t>
            </w:r>
          </w:p>
        </w:tc>
      </w:tr>
    </w:tbl>
    <w:p w14:paraId="33F74F1A">
      <w:pPr>
        <w:adjustRightInd w:val="0"/>
        <w:snapToGrid w:val="0"/>
        <w:spacing w:line="500" w:lineRule="exact"/>
        <w:jc w:val="left"/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</w:pPr>
    </w:p>
    <w:p w14:paraId="09A6047E">
      <w:pPr>
        <w:adjustRightInd w:val="0"/>
        <w:snapToGrid w:val="0"/>
        <w:spacing w:line="480" w:lineRule="exact"/>
        <w:jc w:val="left"/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</w:pPr>
      <w:r>
        <w:rPr>
          <w:rFonts w:ascii="仿宋_GB2312" w:hAnsi="仿宋_GB2312" w:eastAsia="仿宋_GB2312"/>
          <w:b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  <w:t>6年度</w:t>
      </w:r>
      <w:r>
        <w:rPr>
          <w:rFonts w:ascii="仿宋_GB2312" w:hAnsi="仿宋_GB2312" w:eastAsia="仿宋_GB2312"/>
          <w:b/>
          <w:color w:val="000000"/>
          <w:kern w:val="0"/>
          <w:sz w:val="32"/>
          <w:szCs w:val="32"/>
        </w:rPr>
        <w:t>目标任务：</w:t>
      </w:r>
    </w:p>
    <w:p w14:paraId="060AE140">
      <w:pPr>
        <w:adjustRightInd w:val="0"/>
        <w:snapToGrid w:val="0"/>
        <w:spacing w:line="480" w:lineRule="exact"/>
        <w:ind w:firstLine="640" w:firstLineChars="200"/>
        <w:rPr>
          <w:rFonts w:hint="eastAsia" w:ascii="仿宋_GB2312" w:hAnsi="仿宋_GB2312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kern w:val="0"/>
          <w:sz w:val="32"/>
          <w:szCs w:val="32"/>
        </w:rPr>
        <w:t>以铜、金等战略性矿产为主攻矿种，以热液型铜金多金属矿为主攻矿产类型，围绕肃北县九个达坂北等重点工作区，开展1:10000激电中梯剖面测量和激电测深测量，进一步查明区内矿（化）体展布特征，反演矿（化）体在深部延伸情况，为钻探部署提供依据。</w:t>
      </w:r>
    </w:p>
    <w:p w14:paraId="470BC1A3">
      <w:pPr>
        <w:adjustRightInd w:val="0"/>
        <w:snapToGrid w:val="0"/>
        <w:spacing w:before="156" w:beforeLines="50" w:line="480" w:lineRule="exact"/>
        <w:jc w:val="left"/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</w:pPr>
      <w:r>
        <w:rPr>
          <w:rFonts w:ascii="仿宋_GB2312" w:hAnsi="仿宋_GB2312" w:eastAsia="仿宋_GB2312"/>
          <w:b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  <w:t>6年度</w:t>
      </w:r>
      <w:r>
        <w:rPr>
          <w:rFonts w:ascii="仿宋_GB2312" w:hAnsi="仿宋_GB2312" w:eastAsia="仿宋_GB2312"/>
          <w:b/>
          <w:color w:val="000000"/>
          <w:kern w:val="0"/>
          <w:sz w:val="32"/>
          <w:szCs w:val="32"/>
        </w:rPr>
        <w:t>主要实物工作量：</w:t>
      </w:r>
    </w:p>
    <w:p w14:paraId="4A5F3AA0">
      <w:pPr>
        <w:adjustRightInd w:val="0"/>
        <w:snapToGrid w:val="0"/>
        <w:spacing w:line="480" w:lineRule="exact"/>
        <w:ind w:firstLine="640" w:firstLineChars="200"/>
        <w:rPr>
          <w:rFonts w:hint="eastAsia" w:ascii="仿宋_GB2312" w:hAnsi="仿宋_GB2312" w:eastAsia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kern w:val="0"/>
          <w:sz w:val="32"/>
          <w:szCs w:val="32"/>
        </w:rPr>
        <w:t>1.</w:t>
      </w:r>
      <w:r>
        <w:rPr>
          <w:rFonts w:ascii="仿宋_GB2312" w:hAnsi="仿宋_GB2312" w:eastAsia="仿宋_GB2312"/>
          <w:color w:val="auto"/>
          <w:kern w:val="0"/>
          <w:sz w:val="32"/>
          <w:szCs w:val="32"/>
        </w:rPr>
        <w:t>1:</w:t>
      </w:r>
      <w:r>
        <w:rPr>
          <w:rFonts w:hint="eastAsia" w:ascii="仿宋_GB2312" w:hAnsi="仿宋_GB2312" w:eastAsia="仿宋_GB2312"/>
          <w:color w:val="auto"/>
          <w:kern w:val="0"/>
          <w:sz w:val="32"/>
          <w:szCs w:val="32"/>
        </w:rPr>
        <w:t>10</w:t>
      </w:r>
      <w:r>
        <w:rPr>
          <w:rFonts w:ascii="仿宋_GB2312" w:hAnsi="仿宋_GB2312" w:eastAsia="仿宋_GB2312"/>
          <w:color w:val="auto"/>
          <w:kern w:val="0"/>
          <w:sz w:val="32"/>
          <w:szCs w:val="32"/>
        </w:rPr>
        <w:t>000</w:t>
      </w:r>
      <w:r>
        <w:rPr>
          <w:rFonts w:hint="eastAsia" w:ascii="仿宋_GB2312" w:hAnsi="仿宋_GB2312" w:eastAsia="仿宋_GB2312"/>
          <w:color w:val="auto"/>
          <w:kern w:val="0"/>
          <w:sz w:val="32"/>
          <w:szCs w:val="32"/>
        </w:rPr>
        <w:t>激电中梯剖面测量11千米；</w:t>
      </w:r>
    </w:p>
    <w:p w14:paraId="0F63ED23">
      <w:pPr>
        <w:adjustRightInd w:val="0"/>
        <w:snapToGrid w:val="0"/>
        <w:spacing w:line="480" w:lineRule="exact"/>
        <w:ind w:firstLine="640" w:firstLineChars="200"/>
        <w:rPr>
          <w:rFonts w:hint="eastAsia" w:ascii="仿宋_GB2312" w:hAnsi="仿宋_GB2312" w:eastAsia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kern w:val="0"/>
          <w:sz w:val="32"/>
          <w:szCs w:val="32"/>
        </w:rPr>
        <w:t>2.激电测深50点。</w:t>
      </w:r>
    </w:p>
    <w:p w14:paraId="739C2D1C">
      <w:pPr>
        <w:adjustRightInd w:val="0"/>
        <w:snapToGrid w:val="0"/>
        <w:spacing w:before="156" w:beforeLines="50" w:line="480" w:lineRule="exact"/>
        <w:jc w:val="left"/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</w:pPr>
      <w:r>
        <w:rPr>
          <w:rFonts w:ascii="仿宋_GB2312" w:hAnsi="仿宋_GB2312" w:eastAsia="仿宋_GB2312"/>
          <w:b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/>
          <w:b/>
          <w:color w:val="000000"/>
          <w:kern w:val="0"/>
          <w:sz w:val="32"/>
          <w:szCs w:val="32"/>
        </w:rPr>
        <w:t>6</w:t>
      </w:r>
      <w:r>
        <w:rPr>
          <w:rFonts w:ascii="仿宋_GB2312" w:hAnsi="仿宋_GB2312" w:eastAsia="仿宋_GB2312"/>
          <w:b/>
          <w:color w:val="000000"/>
          <w:kern w:val="0"/>
          <w:sz w:val="32"/>
          <w:szCs w:val="32"/>
        </w:rPr>
        <w:t>年度预期成果：</w:t>
      </w:r>
    </w:p>
    <w:p w14:paraId="42A763FA">
      <w:pPr>
        <w:adjustRightInd w:val="0"/>
        <w:snapToGrid w:val="0"/>
        <w:spacing w:line="480" w:lineRule="exact"/>
        <w:ind w:firstLine="640" w:firstLineChars="200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提</w:t>
      </w:r>
      <w:r>
        <w:rPr>
          <w:rFonts w:hint="eastAsia" w:ascii="仿宋_GB2312" w:hAnsi="仿宋_GB2312" w:eastAsia="仿宋_GB2312"/>
          <w:color w:val="auto"/>
          <w:kern w:val="0"/>
          <w:sz w:val="32"/>
          <w:szCs w:val="32"/>
        </w:rPr>
        <w:t>交北祁连东段白</w:t>
      </w:r>
      <w:bookmarkStart w:id="0" w:name="_GoBack"/>
      <w:bookmarkEnd w:id="0"/>
      <w:r>
        <w:rPr>
          <w:rFonts w:hint="eastAsia" w:ascii="仿宋_GB2312" w:hAnsi="仿宋_GB2312" w:eastAsia="仿宋_GB2312"/>
          <w:color w:val="auto"/>
          <w:kern w:val="0"/>
          <w:sz w:val="32"/>
          <w:szCs w:val="32"/>
        </w:rPr>
        <w:t>银厂外围地球物理测量原始资料、成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果报告、相关图件及相应数据库。</w:t>
      </w:r>
    </w:p>
    <w:p w14:paraId="72BCAF21">
      <w:pPr>
        <w:adjustRightInd w:val="0"/>
        <w:snapToGrid w:val="0"/>
        <w:spacing w:before="156" w:beforeLines="50" w:line="480" w:lineRule="exact"/>
        <w:jc w:val="left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ascii="仿宋_GB2312" w:hAnsi="仿宋_GB2312" w:eastAsia="仿宋_GB2312"/>
          <w:b/>
          <w:kern w:val="0"/>
          <w:sz w:val="32"/>
          <w:szCs w:val="32"/>
        </w:rPr>
        <w:t>提交报告时间：</w:t>
      </w:r>
      <w:r>
        <w:rPr>
          <w:rFonts w:ascii="仿宋_GB2312" w:hAns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6</w:t>
      </w:r>
      <w:r>
        <w:rPr>
          <w:rFonts w:ascii="仿宋_GB2312" w:hAnsi="仿宋_GB2312" w:eastAsia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8</w:t>
      </w:r>
      <w:r>
        <w:rPr>
          <w:rFonts w:ascii="仿宋_GB2312" w:hAnsi="仿宋_GB2312" w:eastAsia="仿宋_GB2312"/>
          <w:color w:val="000000"/>
          <w:kern w:val="0"/>
          <w:sz w:val="32"/>
          <w:szCs w:val="32"/>
        </w:rPr>
        <w:t>月。</w:t>
      </w:r>
    </w:p>
    <w:p w14:paraId="4B977CE0">
      <w:pPr>
        <w:adjustRightInd w:val="0"/>
        <w:snapToGrid w:val="0"/>
        <w:spacing w:before="156" w:beforeLines="50" w:line="480" w:lineRule="exact"/>
        <w:jc w:val="left"/>
        <w:rPr>
          <w:rFonts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ascii="仿宋_GB2312" w:hAnsi="仿宋_GB2312" w:eastAsia="仿宋_GB2312"/>
          <w:b/>
          <w:color w:val="000000"/>
          <w:kern w:val="0"/>
          <w:sz w:val="32"/>
          <w:szCs w:val="32"/>
        </w:rPr>
        <w:t>经费预算：</w:t>
      </w:r>
      <w:r>
        <w:rPr>
          <w:rFonts w:ascii="仿宋_GB2312" w:hAns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6</w:t>
      </w:r>
      <w:r>
        <w:rPr>
          <w:rFonts w:ascii="仿宋_GB2312" w:hAnsi="仿宋_GB2312" w:eastAsia="仿宋_GB2312"/>
          <w:color w:val="000000"/>
          <w:kern w:val="0"/>
          <w:sz w:val="32"/>
          <w:szCs w:val="32"/>
        </w:rPr>
        <w:t>年度经费预算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  <w:lang w:val="en-US" w:eastAsia="zh-CN"/>
        </w:rPr>
        <w:t>29</w:t>
      </w:r>
      <w:r>
        <w:rPr>
          <w:rFonts w:ascii="仿宋_GB2312" w:hAnsi="仿宋_GB2312" w:eastAsia="仿宋_GB2312"/>
          <w:color w:val="000000"/>
          <w:kern w:val="0"/>
          <w:sz w:val="32"/>
          <w:szCs w:val="32"/>
        </w:rPr>
        <w:t>万元。</w:t>
      </w:r>
    </w:p>
    <w:p w14:paraId="548740A4">
      <w:pPr>
        <w:adjustRightInd w:val="0"/>
        <w:snapToGrid w:val="0"/>
        <w:spacing w:before="156" w:beforeLines="50" w:line="480" w:lineRule="exact"/>
        <w:jc w:val="left"/>
        <w:rPr>
          <w:rFonts w:ascii="仿宋_GB2312" w:hAnsi="仿宋_GB2312" w:eastAsia="仿宋_GB2312"/>
          <w:color w:val="000000"/>
          <w:kern w:val="0"/>
          <w:sz w:val="32"/>
          <w:szCs w:val="32"/>
        </w:rPr>
      </w:pPr>
    </w:p>
    <w:p w14:paraId="3F818624">
      <w:pPr>
        <w:adjustRightInd w:val="0"/>
        <w:snapToGrid w:val="0"/>
        <w:spacing w:before="156" w:beforeLines="50" w:line="480" w:lineRule="exact"/>
        <w:jc w:val="left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</w:p>
    <w:p w14:paraId="448160BE">
      <w:pPr>
        <w:wordWrap w:val="0"/>
        <w:adjustRightInd w:val="0"/>
        <w:snapToGrid w:val="0"/>
        <w:spacing w:line="480" w:lineRule="exact"/>
        <w:jc w:val="right"/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</w:pPr>
      <w:r>
        <w:rPr>
          <w:rFonts w:ascii="仿宋_GB2312" w:hAns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000000"/>
          <w:kern w:val="0"/>
          <w:sz w:val="32"/>
          <w:szCs w:val="32"/>
        </w:rPr>
        <w:t>6</w:t>
      </w:r>
      <w:r>
        <w:rPr>
          <w:rFonts w:ascii="仿宋_GB2312" w:hAnsi="仿宋_GB2312" w:eastAsia="仿宋_GB2312"/>
          <w:color w:val="000000"/>
          <w:kern w:val="0"/>
          <w:sz w:val="32"/>
          <w:szCs w:val="32"/>
        </w:rPr>
        <w:t>年X月XX日</w:t>
      </w:r>
    </w:p>
    <w:sectPr>
      <w:head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91634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978"/>
    <w:rsid w:val="00004951"/>
    <w:rsid w:val="000168B6"/>
    <w:rsid w:val="00022F0A"/>
    <w:rsid w:val="00023D5B"/>
    <w:rsid w:val="00030646"/>
    <w:rsid w:val="000312E5"/>
    <w:rsid w:val="00036E99"/>
    <w:rsid w:val="00053893"/>
    <w:rsid w:val="00060692"/>
    <w:rsid w:val="00066A0C"/>
    <w:rsid w:val="00074EAA"/>
    <w:rsid w:val="00076898"/>
    <w:rsid w:val="00082889"/>
    <w:rsid w:val="00082FDA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7E96"/>
    <w:rsid w:val="000E0A8B"/>
    <w:rsid w:val="001221D9"/>
    <w:rsid w:val="001344D9"/>
    <w:rsid w:val="00134E1A"/>
    <w:rsid w:val="00147031"/>
    <w:rsid w:val="00165338"/>
    <w:rsid w:val="001673C2"/>
    <w:rsid w:val="0017011E"/>
    <w:rsid w:val="00171348"/>
    <w:rsid w:val="00171D9B"/>
    <w:rsid w:val="00173FD5"/>
    <w:rsid w:val="00177987"/>
    <w:rsid w:val="00185A16"/>
    <w:rsid w:val="00197C71"/>
    <w:rsid w:val="00197E29"/>
    <w:rsid w:val="001B6997"/>
    <w:rsid w:val="001C14F3"/>
    <w:rsid w:val="001C22FF"/>
    <w:rsid w:val="001D0348"/>
    <w:rsid w:val="001D5AEE"/>
    <w:rsid w:val="001E30B6"/>
    <w:rsid w:val="001E38B9"/>
    <w:rsid w:val="001F4132"/>
    <w:rsid w:val="001F63DC"/>
    <w:rsid w:val="002076B7"/>
    <w:rsid w:val="00220F48"/>
    <w:rsid w:val="00224E81"/>
    <w:rsid w:val="00226AEC"/>
    <w:rsid w:val="0023086B"/>
    <w:rsid w:val="00231896"/>
    <w:rsid w:val="002527DE"/>
    <w:rsid w:val="002531BD"/>
    <w:rsid w:val="00280635"/>
    <w:rsid w:val="00285687"/>
    <w:rsid w:val="00286B3D"/>
    <w:rsid w:val="002A02ED"/>
    <w:rsid w:val="002A1383"/>
    <w:rsid w:val="002B0847"/>
    <w:rsid w:val="002B0FFD"/>
    <w:rsid w:val="002C051F"/>
    <w:rsid w:val="002C76FF"/>
    <w:rsid w:val="002C7A59"/>
    <w:rsid w:val="002D28A3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4DDA"/>
    <w:rsid w:val="00336D16"/>
    <w:rsid w:val="00337507"/>
    <w:rsid w:val="00342BC8"/>
    <w:rsid w:val="00344A8C"/>
    <w:rsid w:val="00353E19"/>
    <w:rsid w:val="00357FA7"/>
    <w:rsid w:val="003662F9"/>
    <w:rsid w:val="0037798D"/>
    <w:rsid w:val="00383959"/>
    <w:rsid w:val="00390FE0"/>
    <w:rsid w:val="0039300C"/>
    <w:rsid w:val="0039332A"/>
    <w:rsid w:val="00395279"/>
    <w:rsid w:val="003973B2"/>
    <w:rsid w:val="003A38AE"/>
    <w:rsid w:val="003B125F"/>
    <w:rsid w:val="003B53A4"/>
    <w:rsid w:val="003C6444"/>
    <w:rsid w:val="003D7DA4"/>
    <w:rsid w:val="003E4F37"/>
    <w:rsid w:val="003E77FF"/>
    <w:rsid w:val="003E7B67"/>
    <w:rsid w:val="003F24E9"/>
    <w:rsid w:val="003F6771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127B"/>
    <w:rsid w:val="00482BA3"/>
    <w:rsid w:val="004830C1"/>
    <w:rsid w:val="00490546"/>
    <w:rsid w:val="00491E77"/>
    <w:rsid w:val="00494EB0"/>
    <w:rsid w:val="004A3AF6"/>
    <w:rsid w:val="004A4884"/>
    <w:rsid w:val="004A656E"/>
    <w:rsid w:val="004B09A3"/>
    <w:rsid w:val="004B0ADE"/>
    <w:rsid w:val="004C6257"/>
    <w:rsid w:val="004D78E0"/>
    <w:rsid w:val="004E45A8"/>
    <w:rsid w:val="004F376B"/>
    <w:rsid w:val="004F64B5"/>
    <w:rsid w:val="00511240"/>
    <w:rsid w:val="005132FD"/>
    <w:rsid w:val="00514108"/>
    <w:rsid w:val="00516CB1"/>
    <w:rsid w:val="00521893"/>
    <w:rsid w:val="00534126"/>
    <w:rsid w:val="00547F79"/>
    <w:rsid w:val="00551B2C"/>
    <w:rsid w:val="005602FD"/>
    <w:rsid w:val="005657EA"/>
    <w:rsid w:val="0057173C"/>
    <w:rsid w:val="00576F22"/>
    <w:rsid w:val="005A1E75"/>
    <w:rsid w:val="005A57DC"/>
    <w:rsid w:val="005B2B7E"/>
    <w:rsid w:val="005C16F3"/>
    <w:rsid w:val="005D540D"/>
    <w:rsid w:val="005E00DF"/>
    <w:rsid w:val="005E2A77"/>
    <w:rsid w:val="005E5EB2"/>
    <w:rsid w:val="005F49D9"/>
    <w:rsid w:val="00604BA6"/>
    <w:rsid w:val="00605691"/>
    <w:rsid w:val="00605A3D"/>
    <w:rsid w:val="00605E63"/>
    <w:rsid w:val="00631D98"/>
    <w:rsid w:val="00632F82"/>
    <w:rsid w:val="0063570F"/>
    <w:rsid w:val="00644056"/>
    <w:rsid w:val="006527A1"/>
    <w:rsid w:val="00670A7F"/>
    <w:rsid w:val="00673A48"/>
    <w:rsid w:val="00674589"/>
    <w:rsid w:val="0067618C"/>
    <w:rsid w:val="0067633E"/>
    <w:rsid w:val="00677BBC"/>
    <w:rsid w:val="00683EBB"/>
    <w:rsid w:val="00685D63"/>
    <w:rsid w:val="006A34CD"/>
    <w:rsid w:val="006B107C"/>
    <w:rsid w:val="006B41E9"/>
    <w:rsid w:val="006B590B"/>
    <w:rsid w:val="006B614D"/>
    <w:rsid w:val="006C1A4C"/>
    <w:rsid w:val="006C37B2"/>
    <w:rsid w:val="006C3A37"/>
    <w:rsid w:val="006D41B9"/>
    <w:rsid w:val="006D487C"/>
    <w:rsid w:val="006E102B"/>
    <w:rsid w:val="006E64AE"/>
    <w:rsid w:val="006F2AA5"/>
    <w:rsid w:val="00710898"/>
    <w:rsid w:val="007138DD"/>
    <w:rsid w:val="00714FD8"/>
    <w:rsid w:val="00716500"/>
    <w:rsid w:val="007274B8"/>
    <w:rsid w:val="007326D8"/>
    <w:rsid w:val="00737AFA"/>
    <w:rsid w:val="007401C4"/>
    <w:rsid w:val="007456CD"/>
    <w:rsid w:val="00745FFE"/>
    <w:rsid w:val="00753921"/>
    <w:rsid w:val="00756459"/>
    <w:rsid w:val="00764581"/>
    <w:rsid w:val="00765FB0"/>
    <w:rsid w:val="00782569"/>
    <w:rsid w:val="007A01C9"/>
    <w:rsid w:val="007A1600"/>
    <w:rsid w:val="007A5659"/>
    <w:rsid w:val="007B75E6"/>
    <w:rsid w:val="007C0E08"/>
    <w:rsid w:val="007C47D2"/>
    <w:rsid w:val="007E000F"/>
    <w:rsid w:val="007F2C22"/>
    <w:rsid w:val="007F55C6"/>
    <w:rsid w:val="00800420"/>
    <w:rsid w:val="00803456"/>
    <w:rsid w:val="00807FAF"/>
    <w:rsid w:val="00811A72"/>
    <w:rsid w:val="00812BC6"/>
    <w:rsid w:val="00813F17"/>
    <w:rsid w:val="00817751"/>
    <w:rsid w:val="00817D91"/>
    <w:rsid w:val="00822A8C"/>
    <w:rsid w:val="00823E7F"/>
    <w:rsid w:val="00827B77"/>
    <w:rsid w:val="00832B20"/>
    <w:rsid w:val="0083535C"/>
    <w:rsid w:val="0084249F"/>
    <w:rsid w:val="00857BCF"/>
    <w:rsid w:val="00864B23"/>
    <w:rsid w:val="0086782D"/>
    <w:rsid w:val="00875E93"/>
    <w:rsid w:val="008834A2"/>
    <w:rsid w:val="008856F0"/>
    <w:rsid w:val="00891D0D"/>
    <w:rsid w:val="0089316A"/>
    <w:rsid w:val="008A61AB"/>
    <w:rsid w:val="008A6B50"/>
    <w:rsid w:val="008B260D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118C0"/>
    <w:rsid w:val="00915A9C"/>
    <w:rsid w:val="00917ECF"/>
    <w:rsid w:val="0092200D"/>
    <w:rsid w:val="009231C1"/>
    <w:rsid w:val="00923599"/>
    <w:rsid w:val="00923F22"/>
    <w:rsid w:val="00927D27"/>
    <w:rsid w:val="00954E68"/>
    <w:rsid w:val="0097321F"/>
    <w:rsid w:val="00975063"/>
    <w:rsid w:val="00980AF3"/>
    <w:rsid w:val="00982B3A"/>
    <w:rsid w:val="00985794"/>
    <w:rsid w:val="009867A2"/>
    <w:rsid w:val="009872EC"/>
    <w:rsid w:val="0099083E"/>
    <w:rsid w:val="009A1A62"/>
    <w:rsid w:val="009A3020"/>
    <w:rsid w:val="009A4208"/>
    <w:rsid w:val="009A65A5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31F67"/>
    <w:rsid w:val="00A657DA"/>
    <w:rsid w:val="00A70A54"/>
    <w:rsid w:val="00A772A9"/>
    <w:rsid w:val="00A83DE0"/>
    <w:rsid w:val="00A90B3A"/>
    <w:rsid w:val="00A9649A"/>
    <w:rsid w:val="00AA2DF5"/>
    <w:rsid w:val="00AB3CA6"/>
    <w:rsid w:val="00AD15AA"/>
    <w:rsid w:val="00AD29B2"/>
    <w:rsid w:val="00AD5519"/>
    <w:rsid w:val="00AE0FC8"/>
    <w:rsid w:val="00AE242A"/>
    <w:rsid w:val="00AE2D91"/>
    <w:rsid w:val="00AE5E04"/>
    <w:rsid w:val="00B00610"/>
    <w:rsid w:val="00B00CF0"/>
    <w:rsid w:val="00B0116F"/>
    <w:rsid w:val="00B041A6"/>
    <w:rsid w:val="00B05E97"/>
    <w:rsid w:val="00B06D84"/>
    <w:rsid w:val="00B23A65"/>
    <w:rsid w:val="00B310BD"/>
    <w:rsid w:val="00B33E5F"/>
    <w:rsid w:val="00B35B33"/>
    <w:rsid w:val="00B47857"/>
    <w:rsid w:val="00B5197C"/>
    <w:rsid w:val="00B540A5"/>
    <w:rsid w:val="00B54D16"/>
    <w:rsid w:val="00B7538F"/>
    <w:rsid w:val="00B9406D"/>
    <w:rsid w:val="00B974A6"/>
    <w:rsid w:val="00B97940"/>
    <w:rsid w:val="00BA0C11"/>
    <w:rsid w:val="00BA24E8"/>
    <w:rsid w:val="00BB4F56"/>
    <w:rsid w:val="00BB6A31"/>
    <w:rsid w:val="00BC6A19"/>
    <w:rsid w:val="00BD4BE6"/>
    <w:rsid w:val="00BE0A95"/>
    <w:rsid w:val="00BE0C0E"/>
    <w:rsid w:val="00BF012F"/>
    <w:rsid w:val="00BF0782"/>
    <w:rsid w:val="00BF0FF8"/>
    <w:rsid w:val="00BF5D74"/>
    <w:rsid w:val="00C034EA"/>
    <w:rsid w:val="00C13612"/>
    <w:rsid w:val="00C302FC"/>
    <w:rsid w:val="00C32698"/>
    <w:rsid w:val="00C36E68"/>
    <w:rsid w:val="00C431E8"/>
    <w:rsid w:val="00C51F20"/>
    <w:rsid w:val="00C52330"/>
    <w:rsid w:val="00C53E1D"/>
    <w:rsid w:val="00C601AF"/>
    <w:rsid w:val="00C621E6"/>
    <w:rsid w:val="00C63741"/>
    <w:rsid w:val="00C6681F"/>
    <w:rsid w:val="00C679CE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72ECE"/>
    <w:rsid w:val="00D87780"/>
    <w:rsid w:val="00D909FA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7A2C"/>
    <w:rsid w:val="00DE402E"/>
    <w:rsid w:val="00DF0279"/>
    <w:rsid w:val="00DF3470"/>
    <w:rsid w:val="00E0609D"/>
    <w:rsid w:val="00E20042"/>
    <w:rsid w:val="00E3607D"/>
    <w:rsid w:val="00E44732"/>
    <w:rsid w:val="00E54F14"/>
    <w:rsid w:val="00E620E4"/>
    <w:rsid w:val="00E647D5"/>
    <w:rsid w:val="00E716D9"/>
    <w:rsid w:val="00E80E36"/>
    <w:rsid w:val="00E97C97"/>
    <w:rsid w:val="00EA624F"/>
    <w:rsid w:val="00EB244D"/>
    <w:rsid w:val="00EB673D"/>
    <w:rsid w:val="00EB774D"/>
    <w:rsid w:val="00EC1D06"/>
    <w:rsid w:val="00EC4ECD"/>
    <w:rsid w:val="00EE4EE3"/>
    <w:rsid w:val="00EE5C4A"/>
    <w:rsid w:val="00F12470"/>
    <w:rsid w:val="00F22475"/>
    <w:rsid w:val="00F30C4D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  <w:rsid w:val="133746B8"/>
    <w:rsid w:val="1689005E"/>
    <w:rsid w:val="210B0AA2"/>
    <w:rsid w:val="21F73582"/>
    <w:rsid w:val="2ED37DBD"/>
    <w:rsid w:val="31104D9E"/>
    <w:rsid w:val="31AF2088"/>
    <w:rsid w:val="36947611"/>
    <w:rsid w:val="42E56500"/>
    <w:rsid w:val="4E010A92"/>
    <w:rsid w:val="5153670D"/>
    <w:rsid w:val="51600E2A"/>
    <w:rsid w:val="52E50D16"/>
    <w:rsid w:val="533A0B37"/>
    <w:rsid w:val="56F03792"/>
    <w:rsid w:val="6C900558"/>
    <w:rsid w:val="77B06F30"/>
    <w:rsid w:val="784B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qFormat/>
    <w:uiPriority w:val="0"/>
    <w:pPr>
      <w:shd w:val="clear" w:color="auto" w:fill="000080"/>
    </w:pPr>
  </w:style>
  <w:style w:type="paragraph" w:styleId="4">
    <w:name w:val="annotation text"/>
    <w:basedOn w:val="1"/>
    <w:link w:val="25"/>
    <w:semiHidden/>
    <w:unhideWhenUsed/>
    <w:qFormat/>
    <w:uiPriority w:val="99"/>
    <w:pPr>
      <w:jc w:val="left"/>
    </w:pPr>
  </w:style>
  <w:style w:type="paragraph" w:styleId="5">
    <w:name w:val="Body Text Indent"/>
    <w:basedOn w:val="1"/>
    <w:link w:val="28"/>
    <w:unhideWhenUsed/>
    <w:qFormat/>
    <w:uiPriority w:val="0"/>
    <w:pPr>
      <w:spacing w:after="120"/>
      <w:ind w:left="420" w:leftChars="200" w:firstLine="200" w:firstLineChars="200"/>
    </w:pPr>
    <w:rPr>
      <w:rFonts w:ascii="Calibri" w:hAnsi="Calibri" w:eastAsia="仿宋_GB2312"/>
      <w:sz w:val="32"/>
      <w:szCs w:val="22"/>
    </w:rPr>
  </w:style>
  <w:style w:type="paragraph" w:styleId="6">
    <w:name w:val="Date"/>
    <w:basedOn w:val="1"/>
    <w:next w:val="1"/>
    <w:semiHidden/>
    <w:qFormat/>
    <w:uiPriority w:val="0"/>
    <w:pPr>
      <w:ind w:left="100" w:leftChars="2500"/>
    </w:pPr>
    <w:rPr>
      <w:rFonts w:ascii="仿宋_GB2312" w:hAnsi="宋体" w:eastAsia="仿宋_GB2312"/>
      <w:sz w:val="32"/>
    </w:rPr>
  </w:style>
  <w:style w:type="paragraph" w:styleId="7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annotation subject"/>
    <w:basedOn w:val="4"/>
    <w:next w:val="4"/>
    <w:link w:val="26"/>
    <w:semiHidden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semiHidden/>
    <w:qFormat/>
    <w:uiPriority w:val="0"/>
  </w:style>
  <w:style w:type="character" w:styleId="15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6">
    <w:name w:val="默认段落字体 Para Char"/>
    <w:basedOn w:val="1"/>
    <w:qFormat/>
    <w:uiPriority w:val="0"/>
  </w:style>
  <w:style w:type="paragraph" w:customStyle="1" w:styleId="17">
    <w:name w:val="Char Char Char Char"/>
    <w:basedOn w:val="1"/>
    <w:next w:val="1"/>
    <w:qFormat/>
    <w:uiPriority w:val="0"/>
    <w:pPr>
      <w:spacing w:line="360" w:lineRule="auto"/>
      <w:ind w:firstLine="420" w:firstLineChars="200"/>
    </w:pPr>
    <w:rPr>
      <w:rFonts w:eastAsia="仿宋_GB2312"/>
      <w:sz w:val="24"/>
    </w:rPr>
  </w:style>
  <w:style w:type="character" w:styleId="18">
    <w:name w:val="Placeholder Text"/>
    <w:basedOn w:val="13"/>
    <w:semiHidden/>
    <w:qFormat/>
    <w:uiPriority w:val="99"/>
    <w:rPr>
      <w:color w:val="808080"/>
    </w:rPr>
  </w:style>
  <w:style w:type="character" w:customStyle="1" w:styleId="19">
    <w:name w:val="批注框文本 字符"/>
    <w:basedOn w:val="13"/>
    <w:link w:val="7"/>
    <w:semiHidden/>
    <w:qFormat/>
    <w:uiPriority w:val="99"/>
    <w:rPr>
      <w:kern w:val="2"/>
      <w:sz w:val="18"/>
      <w:szCs w:val="18"/>
    </w:rPr>
  </w:style>
  <w:style w:type="character" w:customStyle="1" w:styleId="20">
    <w:name w:val="样式1"/>
    <w:basedOn w:val="13"/>
    <w:qFormat/>
    <w:uiPriority w:val="1"/>
    <w:rPr>
      <w:rFonts w:eastAsia="仿宋_GB2312"/>
      <w:sz w:val="32"/>
    </w:rPr>
  </w:style>
  <w:style w:type="character" w:customStyle="1" w:styleId="21">
    <w:name w:val="样式2"/>
    <w:basedOn w:val="13"/>
    <w:qFormat/>
    <w:uiPriority w:val="1"/>
    <w:rPr>
      <w:b/>
    </w:rPr>
  </w:style>
  <w:style w:type="character" w:customStyle="1" w:styleId="22">
    <w:name w:val="样式3"/>
    <w:basedOn w:val="13"/>
    <w:qFormat/>
    <w:uiPriority w:val="1"/>
    <w:rPr>
      <w:rFonts w:eastAsia="仿宋_GB2312"/>
      <w:b/>
    </w:rPr>
  </w:style>
  <w:style w:type="character" w:customStyle="1" w:styleId="23">
    <w:name w:val="样式4"/>
    <w:basedOn w:val="13"/>
    <w:qFormat/>
    <w:uiPriority w:val="1"/>
    <w:rPr>
      <w:rFonts w:eastAsia="仿宋_GB2312"/>
      <w:b/>
      <w:sz w:val="32"/>
    </w:rPr>
  </w:style>
  <w:style w:type="character" w:customStyle="1" w:styleId="24">
    <w:name w:val="标题 2 字符"/>
    <w:basedOn w:val="13"/>
    <w:link w:val="2"/>
    <w:qFormat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25">
    <w:name w:val="批注文字 字符"/>
    <w:basedOn w:val="13"/>
    <w:link w:val="4"/>
    <w:semiHidden/>
    <w:qFormat/>
    <w:uiPriority w:val="99"/>
    <w:rPr>
      <w:kern w:val="2"/>
      <w:sz w:val="28"/>
      <w:szCs w:val="24"/>
    </w:rPr>
  </w:style>
  <w:style w:type="character" w:customStyle="1" w:styleId="26">
    <w:name w:val="批注主题 字符"/>
    <w:basedOn w:val="25"/>
    <w:link w:val="10"/>
    <w:semiHidden/>
    <w:qFormat/>
    <w:uiPriority w:val="99"/>
    <w:rPr>
      <w:b/>
      <w:bCs/>
      <w:kern w:val="2"/>
      <w:sz w:val="28"/>
      <w:szCs w:val="24"/>
    </w:rPr>
  </w:style>
  <w:style w:type="paragraph" w:customStyle="1" w:styleId="2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  <w:style w:type="character" w:customStyle="1" w:styleId="28">
    <w:name w:val="正文文本缩进 字符"/>
    <w:basedOn w:val="13"/>
    <w:link w:val="5"/>
    <w:qFormat/>
    <w:uiPriority w:val="0"/>
    <w:rPr>
      <w:rFonts w:ascii="Calibri" w:hAnsi="Calibri" w:eastAsia="仿宋_GB2312"/>
      <w:kern w:val="2"/>
      <w:sz w:val="32"/>
      <w:szCs w:val="22"/>
    </w:rPr>
  </w:style>
  <w:style w:type="paragraph" w:styleId="2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4361112-5481-4E99-B987-7CFEE818E1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307</Words>
  <Characters>354</Characters>
  <Lines>3</Lines>
  <Paragraphs>1</Paragraphs>
  <TotalTime>0</TotalTime>
  <ScaleCrop>false</ScaleCrop>
  <LinksUpToDate>false</LinksUpToDate>
  <CharactersWithSpaces>354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2025-04-27T12:05:00Z</dcterms:created>
  <dc:creator>西北项目办</dc:creator>
  <cp:lastModifiedBy>栗亚芝</cp:lastModifiedBy>
  <cp:lastPrinted>2018-11-08T00:42:00Z</cp:lastPrinted>
  <dcterms:modified xsi:type="dcterms:W3CDTF">2026-05-12T06:49:28Z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eyJoZGlkIjoiNDU0YTVkYjQxMjAwZjEwYjYyMjNmZGIzMmFkODJhMzgiLCJ1c2VySWQiOiI1MjQ0NzY0MzcifQ==</vt:lpwstr>
  </property>
  <property fmtid="{D5CDD505-2E9C-101B-9397-08002B2CF9AE}" pid="4" name="ICV">
    <vt:lpwstr>23B6AAA513E6486EB7298E3F012C5173_12</vt:lpwstr>
  </property>
</Properties>
</file>